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F" w:rsidRPr="00974959" w:rsidRDefault="00DD0959" w:rsidP="00E231D0">
      <w:pPr>
        <w:widowControl/>
        <w:adjustRightInd w:val="0"/>
        <w:snapToGrid w:val="0"/>
        <w:jc w:val="center"/>
        <w:rPr>
          <w:rFonts w:eastAsia="微軟正黑體" w:cstheme="minorHAnsi"/>
          <w:b/>
          <w:sz w:val="28"/>
          <w:szCs w:val="28"/>
        </w:rPr>
      </w:pPr>
      <w:r w:rsidRPr="00974959">
        <w:rPr>
          <w:rFonts w:eastAsia="微軟正黑體" w:cstheme="minorHAnsi" w:hint="eastAsia"/>
          <w:b/>
          <w:sz w:val="28"/>
          <w:szCs w:val="28"/>
        </w:rPr>
        <w:t xml:space="preserve">2013 </w:t>
      </w:r>
      <w:r w:rsidR="00FC5FCF" w:rsidRPr="00974959">
        <w:rPr>
          <w:rFonts w:eastAsia="微軟正黑體" w:cstheme="minorHAnsi"/>
          <w:b/>
          <w:sz w:val="28"/>
          <w:szCs w:val="28"/>
        </w:rPr>
        <w:t>Moldex3D</w:t>
      </w:r>
      <w:r w:rsidR="008139E4">
        <w:rPr>
          <w:rFonts w:eastAsia="微軟正黑體" w:cstheme="minorHAnsi" w:hint="eastAsia"/>
          <w:b/>
          <w:sz w:val="28"/>
          <w:szCs w:val="28"/>
        </w:rPr>
        <w:t>全球</w:t>
      </w:r>
      <w:proofErr w:type="gramStart"/>
      <w:r w:rsidR="005C7834" w:rsidRPr="00974959">
        <w:rPr>
          <w:rFonts w:eastAsia="微軟正黑體" w:cstheme="minorHAnsi" w:hint="eastAsia"/>
          <w:b/>
          <w:sz w:val="28"/>
          <w:szCs w:val="28"/>
        </w:rPr>
        <w:t>模流</w:t>
      </w:r>
      <w:r w:rsidR="00FC5FCF" w:rsidRPr="00974959">
        <w:rPr>
          <w:rFonts w:eastAsia="微軟正黑體" w:cstheme="minorHAnsi"/>
          <w:b/>
          <w:sz w:val="28"/>
          <w:szCs w:val="28"/>
        </w:rPr>
        <w:t>達人</w:t>
      </w:r>
      <w:proofErr w:type="gramEnd"/>
      <w:r w:rsidR="00FC5FCF" w:rsidRPr="00974959">
        <w:rPr>
          <w:rFonts w:eastAsia="微軟正黑體" w:cstheme="minorHAnsi"/>
          <w:b/>
          <w:sz w:val="28"/>
          <w:szCs w:val="28"/>
        </w:rPr>
        <w:t>賽</w:t>
      </w:r>
      <w:r w:rsidR="005C7834" w:rsidRPr="00974959">
        <w:rPr>
          <w:rFonts w:eastAsia="微軟正黑體" w:cstheme="minorHAnsi" w:hint="eastAsia"/>
          <w:b/>
          <w:sz w:val="28"/>
          <w:szCs w:val="28"/>
        </w:rPr>
        <w:t xml:space="preserve">  </w:t>
      </w:r>
      <w:r w:rsidR="00FC5FCF" w:rsidRPr="00974959">
        <w:rPr>
          <w:rFonts w:eastAsia="微軟正黑體" w:hAnsi="微軟正黑體" w:cstheme="minorHAnsi"/>
          <w:b/>
          <w:sz w:val="28"/>
          <w:szCs w:val="28"/>
        </w:rPr>
        <w:t>報名</w:t>
      </w:r>
      <w:r w:rsidR="008A2A08">
        <w:rPr>
          <w:rFonts w:eastAsia="微軟正黑體" w:hAnsi="微軟正黑體" w:cstheme="minorHAnsi" w:hint="eastAsia"/>
          <w:b/>
          <w:sz w:val="28"/>
          <w:szCs w:val="28"/>
        </w:rPr>
        <w:t>暨作品介紹</w:t>
      </w:r>
      <w:r w:rsidR="00FC5FCF" w:rsidRPr="00974959">
        <w:rPr>
          <w:rFonts w:eastAsia="微軟正黑體" w:hAnsi="微軟正黑體" w:cstheme="minorHAnsi"/>
          <w:b/>
          <w:sz w:val="28"/>
          <w:szCs w:val="28"/>
        </w:rPr>
        <w:t>表</w:t>
      </w:r>
    </w:p>
    <w:tbl>
      <w:tblPr>
        <w:tblW w:w="11020" w:type="dxa"/>
        <w:jc w:val="center"/>
        <w:tblInd w:w="-7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776"/>
        <w:gridCol w:w="3544"/>
        <w:gridCol w:w="1212"/>
        <w:gridCol w:w="3488"/>
      </w:tblGrid>
      <w:tr w:rsidR="00FC5FCF" w:rsidRPr="00E231D0" w:rsidTr="004010F8">
        <w:trPr>
          <w:trHeight w:val="340"/>
          <w:jc w:val="center"/>
        </w:trPr>
        <w:tc>
          <w:tcPr>
            <w:tcW w:w="2776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b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/>
                <w:b/>
                <w:color w:val="000000"/>
                <w:sz w:val="22"/>
              </w:rPr>
              <w:t>作品名稱</w:t>
            </w:r>
          </w:p>
        </w:tc>
        <w:tc>
          <w:tcPr>
            <w:tcW w:w="3544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b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 w:hint="eastAsia"/>
                <w:b/>
                <w:color w:val="000000"/>
                <w:sz w:val="22"/>
              </w:rPr>
              <w:t>參賽</w:t>
            </w:r>
            <w:r w:rsidRPr="00E231D0">
              <w:rPr>
                <w:rFonts w:eastAsia="微軟正黑體" w:hAnsi="微軟正黑體" w:cstheme="minorHAnsi"/>
                <w:b/>
                <w:color w:val="000000"/>
                <w:sz w:val="22"/>
              </w:rPr>
              <w:t>編號</w:t>
            </w:r>
          </w:p>
        </w:tc>
        <w:tc>
          <w:tcPr>
            <w:tcW w:w="3488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E231D0">
              <w:rPr>
                <w:rFonts w:eastAsia="微軟正黑體" w:cstheme="minorHAnsi"/>
                <w:color w:val="000000"/>
                <w:sz w:val="22"/>
              </w:rPr>
              <w:t>(</w:t>
            </w:r>
            <w:r w:rsidRPr="00E231D0">
              <w:rPr>
                <w:rFonts w:eastAsia="微軟正黑體" w:hAnsi="微軟正黑體" w:cstheme="minorHAnsi"/>
                <w:color w:val="000000"/>
                <w:sz w:val="22"/>
              </w:rPr>
              <w:t>主辦單位填寫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>)</w:t>
            </w:r>
          </w:p>
        </w:tc>
      </w:tr>
      <w:tr w:rsidR="00FC5FCF" w:rsidRPr="00E231D0" w:rsidTr="004010F8">
        <w:trPr>
          <w:trHeight w:val="340"/>
          <w:jc w:val="center"/>
        </w:trPr>
        <w:tc>
          <w:tcPr>
            <w:tcW w:w="2776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b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/>
                <w:b/>
                <w:color w:val="000000"/>
                <w:sz w:val="22"/>
              </w:rPr>
              <w:t>參賽負責人及職稱</w:t>
            </w:r>
          </w:p>
        </w:tc>
        <w:tc>
          <w:tcPr>
            <w:tcW w:w="3544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b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/>
                <w:b/>
                <w:color w:val="000000"/>
                <w:sz w:val="22"/>
              </w:rPr>
              <w:t>組別</w:t>
            </w:r>
          </w:p>
        </w:tc>
        <w:tc>
          <w:tcPr>
            <w:tcW w:w="3488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color w:val="000000"/>
                <w:sz w:val="22"/>
              </w:rPr>
            </w:pPr>
            <w:r w:rsidRPr="00404D87">
              <w:rPr>
                <w:rFonts w:asciiTheme="minorEastAsia" w:hAnsiTheme="minorEastAsia" w:cstheme="minorHAnsi"/>
                <w:kern w:val="0"/>
                <w:sz w:val="22"/>
              </w:rPr>
              <w:t>□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 xml:space="preserve"> </w:t>
            </w:r>
            <w:r w:rsidRPr="00E231D0">
              <w:rPr>
                <w:rFonts w:eastAsia="微軟正黑體" w:hAnsi="微軟正黑體" w:cstheme="minorHAnsi"/>
                <w:color w:val="000000"/>
                <w:sz w:val="22"/>
              </w:rPr>
              <w:t>學校組</w:t>
            </w:r>
            <w:r w:rsidR="00E231D0" w:rsidRPr="00E231D0">
              <w:rPr>
                <w:rFonts w:eastAsia="微軟正黑體" w:hAnsi="微軟正黑體" w:cstheme="minorHAnsi" w:hint="eastAsia"/>
                <w:color w:val="000000"/>
                <w:sz w:val="22"/>
              </w:rPr>
              <w:t xml:space="preserve">  </w:t>
            </w:r>
            <w:r w:rsidR="00E231D0" w:rsidRPr="00404D87">
              <w:rPr>
                <w:rFonts w:asciiTheme="minorEastAsia" w:hAnsiTheme="minorEastAsia" w:cstheme="minorHAnsi" w:hint="eastAsia"/>
                <w:kern w:val="0"/>
                <w:sz w:val="22"/>
              </w:rPr>
              <w:t xml:space="preserve"> </w:t>
            </w:r>
            <w:r w:rsidRPr="00404D87">
              <w:rPr>
                <w:rFonts w:asciiTheme="minorEastAsia" w:hAnsiTheme="minorEastAsia" w:cstheme="minorHAnsi"/>
                <w:kern w:val="0"/>
                <w:sz w:val="22"/>
              </w:rPr>
              <w:t xml:space="preserve">□ </w:t>
            </w:r>
            <w:r w:rsidRPr="00E231D0">
              <w:rPr>
                <w:rFonts w:eastAsia="微軟正黑體" w:hAnsi="微軟正黑體" w:cstheme="minorHAnsi"/>
                <w:color w:val="000000"/>
                <w:sz w:val="22"/>
              </w:rPr>
              <w:t>企業組</w:t>
            </w:r>
          </w:p>
        </w:tc>
      </w:tr>
      <w:tr w:rsidR="004010F8" w:rsidRPr="00E231D0" w:rsidTr="004010F8">
        <w:trPr>
          <w:trHeight w:val="340"/>
          <w:jc w:val="center"/>
        </w:trPr>
        <w:tc>
          <w:tcPr>
            <w:tcW w:w="2776" w:type="dxa"/>
            <w:vAlign w:val="center"/>
          </w:tcPr>
          <w:p w:rsidR="004010F8" w:rsidRPr="00E231D0" w:rsidRDefault="004010F8" w:rsidP="00E231D0">
            <w:pPr>
              <w:adjustRightInd w:val="0"/>
              <w:snapToGrid w:val="0"/>
              <w:jc w:val="both"/>
              <w:rPr>
                <w:rFonts w:eastAsia="微軟正黑體" w:hAnsi="微軟正黑體" w:cstheme="minorHAnsi"/>
                <w:b/>
                <w:color w:val="000000"/>
                <w:sz w:val="22"/>
              </w:rPr>
            </w:pPr>
            <w:r>
              <w:rPr>
                <w:rFonts w:eastAsia="微軟正黑體" w:hAnsi="微軟正黑體" w:cstheme="minorHAnsi" w:hint="eastAsia"/>
                <w:b/>
                <w:color w:val="000000"/>
                <w:sz w:val="22"/>
              </w:rPr>
              <w:t>參賽組員</w:t>
            </w:r>
          </w:p>
        </w:tc>
        <w:tc>
          <w:tcPr>
            <w:tcW w:w="8244" w:type="dxa"/>
            <w:gridSpan w:val="3"/>
            <w:vAlign w:val="center"/>
          </w:tcPr>
          <w:p w:rsidR="004010F8" w:rsidRPr="00E231D0" w:rsidRDefault="004010F8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E231D0" w:rsidTr="004010F8">
        <w:trPr>
          <w:trHeight w:val="340"/>
          <w:jc w:val="center"/>
        </w:trPr>
        <w:tc>
          <w:tcPr>
            <w:tcW w:w="2776" w:type="dxa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b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/>
                <w:b/>
                <w:color w:val="000000"/>
                <w:sz w:val="22"/>
              </w:rPr>
              <w:t>參賽單位</w:t>
            </w:r>
          </w:p>
        </w:tc>
        <w:tc>
          <w:tcPr>
            <w:tcW w:w="8244" w:type="dxa"/>
            <w:gridSpan w:val="3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E231D0" w:rsidTr="004010F8">
        <w:trPr>
          <w:trHeight w:val="340"/>
          <w:jc w:val="center"/>
        </w:trPr>
        <w:tc>
          <w:tcPr>
            <w:tcW w:w="2776" w:type="dxa"/>
            <w:tcBorders>
              <w:bottom w:val="dotted" w:sz="4" w:space="0" w:color="auto"/>
            </w:tcBorders>
            <w:vAlign w:val="center"/>
          </w:tcPr>
          <w:p w:rsidR="00FC5FCF" w:rsidRPr="00E231D0" w:rsidRDefault="00FA5C0D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b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/>
                <w:b/>
                <w:color w:val="000000"/>
                <w:sz w:val="22"/>
              </w:rPr>
              <w:t>電子郵件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  <w:tc>
          <w:tcPr>
            <w:tcW w:w="1212" w:type="dxa"/>
            <w:tcBorders>
              <w:bottom w:val="dotted" w:sz="4" w:space="0" w:color="auto"/>
            </w:tcBorders>
            <w:vAlign w:val="center"/>
          </w:tcPr>
          <w:p w:rsidR="00FC5FCF" w:rsidRPr="00E231D0" w:rsidRDefault="00FA5C0D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b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/>
                <w:b/>
                <w:color w:val="000000"/>
                <w:sz w:val="22"/>
              </w:rPr>
              <w:t>聯絡電話</w:t>
            </w:r>
          </w:p>
        </w:tc>
        <w:tc>
          <w:tcPr>
            <w:tcW w:w="3488" w:type="dxa"/>
            <w:tcBorders>
              <w:bottom w:val="dotted" w:sz="4" w:space="0" w:color="auto"/>
            </w:tcBorders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jc w:val="both"/>
              <w:rPr>
                <w:rFonts w:eastAsia="微軟正黑體" w:cstheme="minorHAnsi"/>
                <w:color w:val="000000"/>
                <w:sz w:val="22"/>
              </w:rPr>
            </w:pPr>
          </w:p>
        </w:tc>
      </w:tr>
      <w:tr w:rsidR="00FC5FCF" w:rsidRPr="00E231D0" w:rsidTr="004010F8">
        <w:trPr>
          <w:trHeight w:val="334"/>
          <w:jc w:val="center"/>
        </w:trPr>
        <w:tc>
          <w:tcPr>
            <w:tcW w:w="11020" w:type="dxa"/>
            <w:gridSpan w:val="4"/>
            <w:shd w:val="clear" w:color="auto" w:fill="BFBFBF" w:themeFill="background1" w:themeFillShade="BF"/>
            <w:vAlign w:val="center"/>
          </w:tcPr>
          <w:p w:rsidR="00FC5FCF" w:rsidRPr="00E231D0" w:rsidRDefault="00FC5FCF" w:rsidP="00E231D0">
            <w:pPr>
              <w:adjustRightInd w:val="0"/>
              <w:snapToGrid w:val="0"/>
              <w:ind w:left="240"/>
              <w:jc w:val="center"/>
              <w:rPr>
                <w:rFonts w:eastAsia="微軟正黑體" w:cstheme="minorHAnsi"/>
                <w:b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/>
                <w:b/>
                <w:color w:val="000000"/>
                <w:sz w:val="22"/>
              </w:rPr>
              <w:t>作品簡介</w:t>
            </w:r>
          </w:p>
        </w:tc>
      </w:tr>
      <w:tr w:rsidR="00FC5FCF" w:rsidRPr="00E231D0" w:rsidTr="004010F8">
        <w:trPr>
          <w:trHeight w:val="12044"/>
          <w:jc w:val="center"/>
        </w:trPr>
        <w:tc>
          <w:tcPr>
            <w:tcW w:w="11020" w:type="dxa"/>
            <w:gridSpan w:val="4"/>
            <w:tcBorders>
              <w:bottom w:val="dotted" w:sz="4" w:space="0" w:color="auto"/>
            </w:tcBorders>
            <w:vAlign w:val="center"/>
          </w:tcPr>
          <w:p w:rsidR="004A272E" w:rsidRPr="008370F6" w:rsidRDefault="004A272E" w:rsidP="00E231D0">
            <w:pPr>
              <w:adjustRightInd w:val="0"/>
              <w:snapToGrid w:val="0"/>
              <w:jc w:val="both"/>
              <w:textAlignment w:val="baseline"/>
              <w:rPr>
                <w:rFonts w:eastAsia="微軟正黑體" w:cstheme="minorHAnsi"/>
                <w:b/>
                <w:color w:val="C00000"/>
                <w:sz w:val="22"/>
              </w:rPr>
            </w:pPr>
            <w:r w:rsidRPr="008370F6">
              <w:rPr>
                <w:rFonts w:eastAsia="微軟正黑體" w:cstheme="minorHAnsi" w:hint="eastAsia"/>
                <w:b/>
                <w:color w:val="C00000"/>
                <w:sz w:val="22"/>
              </w:rPr>
              <w:t>(</w:t>
            </w:r>
            <w:r w:rsidRPr="008370F6">
              <w:rPr>
                <w:rFonts w:eastAsia="微軟正黑體" w:cstheme="minorHAnsi" w:hint="eastAsia"/>
                <w:b/>
                <w:color w:val="C00000"/>
                <w:sz w:val="22"/>
              </w:rPr>
              <w:t>以第一屆作品為例</w:t>
            </w:r>
            <w:r w:rsidRPr="008370F6">
              <w:rPr>
                <w:rFonts w:eastAsia="微軟正黑體" w:cstheme="minorHAnsi" w:hint="eastAsia"/>
                <w:b/>
                <w:color w:val="C00000"/>
                <w:sz w:val="22"/>
              </w:rPr>
              <w:t>)</w:t>
            </w:r>
          </w:p>
          <w:p w:rsidR="004A272E" w:rsidRPr="00E231D0" w:rsidRDefault="004A272E" w:rsidP="00E231D0">
            <w:pPr>
              <w:adjustRightInd w:val="0"/>
              <w:snapToGrid w:val="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</w:p>
          <w:p w:rsidR="00FC5FCF" w:rsidRPr="00404D87" w:rsidRDefault="004A272E" w:rsidP="00E231D0">
            <w:pPr>
              <w:numPr>
                <w:ilvl w:val="0"/>
                <w:numId w:val="1"/>
              </w:numPr>
              <w:adjustRightInd w:val="0"/>
              <w:snapToGrid w:val="0"/>
              <w:ind w:left="595" w:hanging="357"/>
              <w:jc w:val="both"/>
              <w:textAlignment w:val="baseline"/>
              <w:rPr>
                <w:rFonts w:eastAsia="微軟正黑體" w:cstheme="minorHAnsi"/>
                <w:b/>
                <w:color w:val="365F91" w:themeColor="accent1" w:themeShade="BF"/>
                <w:sz w:val="22"/>
              </w:rPr>
            </w:pPr>
            <w:r w:rsidRPr="00404D87">
              <w:rPr>
                <w:rFonts w:eastAsia="微軟正黑體" w:hAnsi="微軟正黑體" w:cstheme="minorHAnsi" w:hint="eastAsia"/>
                <w:b/>
                <w:color w:val="365F91" w:themeColor="accent1" w:themeShade="BF"/>
                <w:sz w:val="22"/>
              </w:rPr>
              <w:t>內容大綱</w:t>
            </w:r>
          </w:p>
          <w:p w:rsidR="004A272E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E231D0">
              <w:rPr>
                <w:rFonts w:eastAsia="微軟正黑體" w:cstheme="minorHAnsi"/>
                <w:color w:val="000000"/>
                <w:sz w:val="22"/>
              </w:rPr>
              <w:t>為能大幅降低能源的消耗與成本的花費，氣體輔助射出成型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>(GAIM)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>製程在業界已逐漸被廣泛的運用。以生產製造影像產品、機殼產品、電源產品和發光二極體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 xml:space="preserve"> (LED)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>的光寶科技亦將此製程技術應用在其產品的生產上，並同時藉由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>Moldex3D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>的氣體輔助射出成型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>(GAIM)</w:t>
            </w:r>
            <w:r w:rsidRPr="00E231D0">
              <w:rPr>
                <w:rFonts w:eastAsia="微軟正黑體" w:cstheme="minorHAnsi"/>
                <w:color w:val="000000"/>
                <w:sz w:val="22"/>
              </w:rPr>
              <w:t>模組來進行產品驗證及製程優化。透過模流分析，光寶科技可以在實際生產前就了解氣體穿透之行為，並可藉以調整與優化成型條件，來達到節省材料與時間成本的效果。</w:t>
            </w:r>
          </w:p>
          <w:p w:rsidR="004A272E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</w:p>
          <w:p w:rsidR="004A272E" w:rsidRPr="00E231D0" w:rsidRDefault="004A272E" w:rsidP="00E231D0">
            <w:pPr>
              <w:numPr>
                <w:ilvl w:val="0"/>
                <w:numId w:val="1"/>
              </w:numPr>
              <w:adjustRightInd w:val="0"/>
              <w:snapToGrid w:val="0"/>
              <w:ind w:left="595" w:hanging="357"/>
              <w:jc w:val="both"/>
              <w:textAlignment w:val="baseline"/>
              <w:rPr>
                <w:rFonts w:eastAsia="微軟正黑體" w:hAnsi="微軟正黑體" w:cstheme="minorHAnsi"/>
                <w:b/>
                <w:color w:val="000000"/>
                <w:sz w:val="22"/>
              </w:rPr>
            </w:pPr>
            <w:r w:rsidRPr="00404D87">
              <w:rPr>
                <w:rFonts w:eastAsia="微軟正黑體" w:hAnsi="微軟正黑體" w:cstheme="minorHAnsi" w:hint="eastAsia"/>
                <w:b/>
                <w:color w:val="365F91" w:themeColor="accent1" w:themeShade="BF"/>
                <w:sz w:val="22"/>
              </w:rPr>
              <w:t>挑戰</w:t>
            </w:r>
            <w:r w:rsidRPr="00404D87">
              <w:rPr>
                <w:rFonts w:eastAsia="微軟正黑體" w:hAnsi="微軟正黑體" w:cstheme="minorHAnsi" w:hint="eastAsia"/>
                <w:b/>
                <w:color w:val="365F91" w:themeColor="accent1" w:themeShade="BF"/>
                <w:sz w:val="22"/>
              </w:rPr>
              <w:t xml:space="preserve"> </w:t>
            </w:r>
            <w:r w:rsidRPr="00E231D0">
              <w:rPr>
                <w:rFonts w:eastAsia="微軟正黑體" w:hAnsi="微軟正黑體" w:cstheme="minorHAnsi" w:hint="eastAsia"/>
                <w:b/>
                <w:color w:val="000000"/>
                <w:sz w:val="22"/>
              </w:rPr>
              <w:t xml:space="preserve"> </w:t>
            </w:r>
          </w:p>
          <w:p w:rsidR="004A272E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送紙機構元件的平整度在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ADF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掃描機中扮演著相當關鍵的角色。送紙機構的平整度若不佳的話，將會直接影響掃描品質的穩定性及可靠性。因此，確實控制其變形平整度，使其平整度能達到要求的規範勢必為首要任務。然而，如何透過工具來具體透視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模穴內氣體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的穿透行為，以防止變形等潛在問題，在實務上著實是項挑戰。光寶科技瞭解若要同時確保產品品質與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降低試模成本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，則必須找到適切的解決工具。</w:t>
            </w:r>
          </w:p>
          <w:p w:rsidR="00FC5FCF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E231D0">
              <w:rPr>
                <w:rFonts w:eastAsia="微軟正黑體" w:hAnsi="微軟正黑體" w:cstheme="minorHAnsi" w:hint="eastAsia"/>
                <w:color w:val="000000"/>
                <w:sz w:val="22"/>
              </w:rPr>
              <w:t xml:space="preserve">                                      </w:t>
            </w:r>
          </w:p>
          <w:p w:rsidR="00FC5FCF" w:rsidRPr="00404D87" w:rsidRDefault="004A272E" w:rsidP="00E231D0">
            <w:pPr>
              <w:numPr>
                <w:ilvl w:val="0"/>
                <w:numId w:val="1"/>
              </w:numPr>
              <w:adjustRightInd w:val="0"/>
              <w:snapToGrid w:val="0"/>
              <w:ind w:left="595" w:hanging="357"/>
              <w:jc w:val="both"/>
              <w:textAlignment w:val="baseline"/>
              <w:rPr>
                <w:rFonts w:eastAsia="微軟正黑體" w:hAnsi="微軟正黑體" w:cstheme="minorHAnsi"/>
                <w:b/>
                <w:color w:val="365F91" w:themeColor="accent1" w:themeShade="BF"/>
                <w:sz w:val="22"/>
              </w:rPr>
            </w:pPr>
            <w:r w:rsidRPr="00404D87">
              <w:rPr>
                <w:rFonts w:eastAsia="微軟正黑體" w:hAnsi="微軟正黑體" w:cstheme="minorHAnsi" w:hint="eastAsia"/>
                <w:b/>
                <w:color w:val="365F91" w:themeColor="accent1" w:themeShade="BF"/>
                <w:sz w:val="22"/>
              </w:rPr>
              <w:t>解決方案</w:t>
            </w:r>
          </w:p>
          <w:p w:rsidR="004A272E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為達成更好的產品品質，光寶科技藉由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Moldex3D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氣體輔助射出成型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(GAIM)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模組，在開發初期驗證產品設計與製程，並且比較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實際試模與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模擬分析的結果。透過模擬結果，光寶科技清楚確認該變形量是否在可接受的範圍，並進一步將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Z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軸方向的變形量精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準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掌握在要求的規範內</w:t>
            </w:r>
            <w:r w:rsidR="00404D87">
              <w:rPr>
                <w:rFonts w:eastAsia="微軟正黑體" w:cstheme="minorHAnsi" w:hint="eastAsia"/>
                <w:color w:val="000000"/>
                <w:sz w:val="22"/>
              </w:rPr>
              <w:t xml:space="preserve"> 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(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±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0.3mm)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。</w:t>
            </w:r>
          </w:p>
          <w:p w:rsidR="004A272E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</w:p>
          <w:p w:rsidR="004A272E" w:rsidRPr="00404D87" w:rsidRDefault="004A272E" w:rsidP="00E231D0">
            <w:pPr>
              <w:numPr>
                <w:ilvl w:val="0"/>
                <w:numId w:val="1"/>
              </w:numPr>
              <w:adjustRightInd w:val="0"/>
              <w:snapToGrid w:val="0"/>
              <w:ind w:left="595" w:hanging="357"/>
              <w:jc w:val="both"/>
              <w:textAlignment w:val="baseline"/>
              <w:rPr>
                <w:rFonts w:eastAsia="微軟正黑體" w:hAnsi="微軟正黑體" w:cstheme="minorHAnsi"/>
                <w:b/>
                <w:color w:val="365F91" w:themeColor="accent1" w:themeShade="BF"/>
                <w:sz w:val="22"/>
              </w:rPr>
            </w:pPr>
            <w:r w:rsidRPr="00404D87">
              <w:rPr>
                <w:rFonts w:eastAsia="微軟正黑體" w:hAnsi="微軟正黑體" w:cstheme="minorHAnsi" w:hint="eastAsia"/>
                <w:b/>
                <w:color w:val="365F91" w:themeColor="accent1" w:themeShade="BF"/>
                <w:sz w:val="22"/>
              </w:rPr>
              <w:t>案例分析</w:t>
            </w:r>
          </w:p>
          <w:p w:rsidR="004A272E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此案例主要目的是希望藉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由氣輔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模組的模擬分析結果來評估最佳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的氣針位置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與氣體穿透區域範圍，以解決送紙機構元件在兩側與中間區塊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的翹曲變形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問題。由於氣體容易往高溫低壓的地方去進行滲透，便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將氣針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的位置擺放於左右兩側流動末端等較低溫區域，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誘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使氣體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往澆口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區域高溫低壓區去進行滲透。在此案例中，光寶科技明成功藉由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Moldex3D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特殊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的氣輔模組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GAIM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找出理想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的氣針位置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與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降低翹曲變形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問題。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Moldex3D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氣輔模組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GAIM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可以讓使用者自行設定參數，包含氣體進入時間、延遲時間、氣體進入口、溢流區等。透過模擬的分析結果，光寶科技可以確保氣體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往澆口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附近的高溫區滲透，並達成理想的結果。藉由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Moldex3D</w:t>
            </w:r>
            <w:r w:rsidR="00404D87">
              <w:rPr>
                <w:rFonts w:eastAsia="微軟正黑體" w:cstheme="minorHAnsi" w:hint="eastAsia"/>
                <w:color w:val="000000"/>
                <w:sz w:val="22"/>
              </w:rPr>
              <w:t>的幫助，光寶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可以完整地驗證原始設計，並同時瞭解模擬分析與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實際試模結果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的差異。</w:t>
            </w:r>
          </w:p>
          <w:p w:rsidR="004A272E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</w:p>
          <w:p w:rsidR="00FC5FCF" w:rsidRPr="00404D87" w:rsidRDefault="004A272E" w:rsidP="00E231D0">
            <w:pPr>
              <w:numPr>
                <w:ilvl w:val="0"/>
                <w:numId w:val="1"/>
              </w:numPr>
              <w:adjustRightInd w:val="0"/>
              <w:snapToGrid w:val="0"/>
              <w:ind w:left="595" w:hanging="357"/>
              <w:jc w:val="both"/>
              <w:textAlignment w:val="baseline"/>
              <w:rPr>
                <w:rFonts w:eastAsia="微軟正黑體" w:hAnsi="微軟正黑體" w:cstheme="minorHAnsi"/>
                <w:b/>
                <w:color w:val="365F91" w:themeColor="accent1" w:themeShade="BF"/>
                <w:sz w:val="22"/>
              </w:rPr>
            </w:pPr>
            <w:r w:rsidRPr="00404D87">
              <w:rPr>
                <w:rFonts w:eastAsia="微軟正黑體" w:hAnsi="微軟正黑體" w:cstheme="minorHAnsi"/>
                <w:b/>
                <w:color w:val="365F91" w:themeColor="accent1" w:themeShade="BF"/>
                <w:sz w:val="22"/>
              </w:rPr>
              <w:t>效益</w:t>
            </w:r>
          </w:p>
          <w:p w:rsidR="00FC5FCF" w:rsidRPr="00E231D0" w:rsidRDefault="004A272E" w:rsidP="00E231D0">
            <w:pPr>
              <w:adjustRightInd w:val="0"/>
              <w:snapToGrid w:val="0"/>
              <w:ind w:left="600"/>
              <w:jc w:val="both"/>
              <w:textAlignment w:val="baseline"/>
              <w:rPr>
                <w:rFonts w:eastAsia="微軟正黑體" w:cstheme="minorHAnsi"/>
                <w:color w:val="000000"/>
                <w:sz w:val="22"/>
              </w:rPr>
            </w:pP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藉由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 xml:space="preserve">Moldex3D 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氣輔模組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GAIM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的模擬，光寶科技大幅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減低翹曲變形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問題，達到產品尺寸穩地度的要求。分析結果顯示，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X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軸方向的變形量減低了將近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45%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；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Y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軸的變形量降低了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40%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；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Z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軸的變形量降低了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64%</w:t>
            </w:r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。除此之外，此案例分析也驗證了氣體滲透行為的模擬分析與實際</w:t>
            </w:r>
            <w:proofErr w:type="gramStart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試模二次</w:t>
            </w:r>
            <w:proofErr w:type="gramEnd"/>
            <w:r w:rsidRPr="00E231D0">
              <w:rPr>
                <w:rFonts w:eastAsia="微軟正黑體" w:cstheme="minorHAnsi" w:hint="eastAsia"/>
                <w:color w:val="000000"/>
                <w:sz w:val="22"/>
              </w:rPr>
              <w:t>滲透行為結果的一致性。</w:t>
            </w:r>
          </w:p>
        </w:tc>
      </w:tr>
    </w:tbl>
    <w:p w:rsidR="00436B8A" w:rsidRPr="008370F6" w:rsidRDefault="00FC5FCF" w:rsidP="00E231D0">
      <w:pPr>
        <w:widowControl/>
        <w:adjustRightInd w:val="0"/>
        <w:snapToGrid w:val="0"/>
        <w:ind w:leftChars="100" w:left="240"/>
        <w:rPr>
          <w:rFonts w:eastAsia="微軟正黑體" w:cstheme="minorHAnsi"/>
          <w:sz w:val="18"/>
          <w:szCs w:val="18"/>
        </w:rPr>
      </w:pPr>
      <w:proofErr w:type="gramStart"/>
      <w:r w:rsidRPr="008370F6">
        <w:rPr>
          <w:rFonts w:eastAsia="微軟正黑體" w:hAnsi="微軟正黑體" w:cstheme="minorHAnsi"/>
          <w:sz w:val="18"/>
          <w:szCs w:val="18"/>
        </w:rPr>
        <w:t>註</w:t>
      </w:r>
      <w:proofErr w:type="gramEnd"/>
      <w:r w:rsidRPr="008370F6">
        <w:rPr>
          <w:rFonts w:eastAsia="微軟正黑體" w:hAnsi="微軟正黑體" w:cstheme="minorHAnsi"/>
          <w:sz w:val="18"/>
          <w:szCs w:val="18"/>
        </w:rPr>
        <w:t>：</w:t>
      </w:r>
      <w:r w:rsidRPr="008370F6">
        <w:rPr>
          <w:rFonts w:eastAsia="微軟正黑體" w:hAnsi="微軟正黑體" w:cstheme="minorHAnsi"/>
          <w:color w:val="000000"/>
          <w:sz w:val="18"/>
          <w:szCs w:val="18"/>
        </w:rPr>
        <w:t>投稿作品一律</w:t>
      </w:r>
      <w:proofErr w:type="gramStart"/>
      <w:r w:rsidRPr="008370F6">
        <w:rPr>
          <w:rFonts w:eastAsia="微軟正黑體" w:hAnsi="微軟正黑體" w:cstheme="minorHAnsi"/>
          <w:color w:val="000000"/>
          <w:sz w:val="18"/>
          <w:szCs w:val="18"/>
        </w:rPr>
        <w:t>不予退</w:t>
      </w:r>
      <w:proofErr w:type="gramEnd"/>
      <w:r w:rsidRPr="008370F6">
        <w:rPr>
          <w:rFonts w:eastAsia="微軟正黑體" w:hAnsi="微軟正黑體" w:cstheme="minorHAnsi"/>
          <w:color w:val="000000"/>
          <w:sz w:val="18"/>
          <w:szCs w:val="18"/>
        </w:rPr>
        <w:t>件，請參賽者自行留存原稿備份。評審前若遇不可抗力之任何災變、意外等事故所</w:t>
      </w:r>
      <w:proofErr w:type="gramStart"/>
      <w:r w:rsidRPr="008370F6">
        <w:rPr>
          <w:rFonts w:eastAsia="微軟正黑體" w:hAnsi="微軟正黑體" w:cstheme="minorHAnsi"/>
          <w:color w:val="000000"/>
          <w:sz w:val="18"/>
          <w:szCs w:val="18"/>
        </w:rPr>
        <w:t>造成之損毀</w:t>
      </w:r>
      <w:proofErr w:type="gramEnd"/>
      <w:r w:rsidRPr="008370F6">
        <w:rPr>
          <w:rFonts w:eastAsia="微軟正黑體" w:hAnsi="微軟正黑體" w:cstheme="minorHAnsi"/>
          <w:color w:val="000000"/>
          <w:sz w:val="18"/>
          <w:szCs w:val="18"/>
        </w:rPr>
        <w:t>，由主辦單位另行通知交付備份作品，對毀損之作品恕不負賠償之責。</w:t>
      </w:r>
    </w:p>
    <w:sectPr w:rsidR="00436B8A" w:rsidRPr="008370F6" w:rsidSect="00605DAD">
      <w:headerReference w:type="default" r:id="rId7"/>
      <w:footerReference w:type="default" r:id="rId8"/>
      <w:pgSz w:w="11906" w:h="16838"/>
      <w:pgMar w:top="510" w:right="624" w:bottom="567" w:left="62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E9" w:rsidRDefault="008317E9" w:rsidP="005C7834">
      <w:r>
        <w:separator/>
      </w:r>
    </w:p>
  </w:endnote>
  <w:endnote w:type="continuationSeparator" w:id="0">
    <w:p w:rsidR="008317E9" w:rsidRDefault="008317E9" w:rsidP="005C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AD" w:rsidRDefault="008139E4">
    <w:pPr>
      <w:pStyle w:val="a5"/>
    </w:pPr>
    <w:r w:rsidRPr="008139E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-153475</wp:posOffset>
          </wp:positionV>
          <wp:extent cx="7539990" cy="316461"/>
          <wp:effectExtent l="19050" t="0" r="3810" b="0"/>
          <wp:wrapNone/>
          <wp:docPr id="1" name="圖片 0" descr="表尾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尾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434" cy="321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E9" w:rsidRDefault="008317E9" w:rsidP="005C7834">
      <w:r>
        <w:separator/>
      </w:r>
    </w:p>
  </w:footnote>
  <w:footnote w:type="continuationSeparator" w:id="0">
    <w:p w:rsidR="008317E9" w:rsidRDefault="008317E9" w:rsidP="005C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AD" w:rsidRDefault="00605DAD">
    <w:pPr>
      <w:pStyle w:val="a3"/>
    </w:pPr>
    <w:r w:rsidRPr="00605D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-391258</wp:posOffset>
          </wp:positionH>
          <wp:positionV relativeFrom="paragraph">
            <wp:posOffset>-14068</wp:posOffset>
          </wp:positionV>
          <wp:extent cx="7561531" cy="351693"/>
          <wp:effectExtent l="19050" t="0" r="1954" b="0"/>
          <wp:wrapNone/>
          <wp:docPr id="2" name="圖片 0" descr="表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896" cy="351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77"/>
    <w:multiLevelType w:val="hybridMultilevel"/>
    <w:tmpl w:val="8CAE9244"/>
    <w:lvl w:ilvl="0" w:tplc="68D42C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DB1FDD"/>
    <w:multiLevelType w:val="hybridMultilevel"/>
    <w:tmpl w:val="17466088"/>
    <w:lvl w:ilvl="0" w:tplc="68D42C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FCF"/>
    <w:rsid w:val="00186E5A"/>
    <w:rsid w:val="00201D33"/>
    <w:rsid w:val="00355F3E"/>
    <w:rsid w:val="004010F8"/>
    <w:rsid w:val="00404D87"/>
    <w:rsid w:val="00436B8A"/>
    <w:rsid w:val="004A272E"/>
    <w:rsid w:val="005C7834"/>
    <w:rsid w:val="00605DAD"/>
    <w:rsid w:val="00620477"/>
    <w:rsid w:val="00684B37"/>
    <w:rsid w:val="008139E4"/>
    <w:rsid w:val="008317E9"/>
    <w:rsid w:val="008370F6"/>
    <w:rsid w:val="008A2A08"/>
    <w:rsid w:val="00974959"/>
    <w:rsid w:val="00A85485"/>
    <w:rsid w:val="00BC5C48"/>
    <w:rsid w:val="00C24425"/>
    <w:rsid w:val="00DD0959"/>
    <w:rsid w:val="00E231D0"/>
    <w:rsid w:val="00FA5C0D"/>
    <w:rsid w:val="00FC4E69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78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783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A272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5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5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1085</Characters>
  <Application>Microsoft Office Word</Application>
  <DocSecurity>0</DocSecurity>
  <Lines>9</Lines>
  <Paragraphs>2</Paragraphs>
  <ScaleCrop>false</ScaleCrop>
  <Company>CoreTech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joanneho</dc:creator>
  <cp:lastModifiedBy>joanneho</cp:lastModifiedBy>
  <cp:revision>13</cp:revision>
  <dcterms:created xsi:type="dcterms:W3CDTF">2012-10-01T10:28:00Z</dcterms:created>
  <dcterms:modified xsi:type="dcterms:W3CDTF">2013-07-11T09:29:00Z</dcterms:modified>
</cp:coreProperties>
</file>